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42" w:rsidRPr="00D47E42" w:rsidRDefault="00D47E42" w:rsidP="002F7BB5">
      <w:pPr>
        <w:spacing w:after="0" w:line="300" w:lineRule="atLeast"/>
        <w:jc w:val="center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Základná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škola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materskou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školou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Alapiskola</w:t>
      </w:r>
      <w:proofErr w:type="spellEnd"/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és</w:t>
      </w:r>
      <w:proofErr w:type="spellEnd"/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Óvoda</w:t>
      </w:r>
      <w:proofErr w:type="spellEnd"/>
    </w:p>
    <w:p w:rsidR="00D47E42" w:rsidRPr="00D47E42" w:rsidRDefault="00D47E42" w:rsidP="00D47E42">
      <w:pPr>
        <w:spacing w:after="0" w:line="300" w:lineRule="atLeast"/>
        <w:jc w:val="center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Lipová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115</w:t>
      </w:r>
    </w:p>
    <w:p w:rsidR="00D47E42" w:rsidRPr="00D47E42" w:rsidRDefault="00D47E42" w:rsidP="00D47E42">
      <w:pPr>
        <w:spacing w:after="0" w:line="300" w:lineRule="atLeast"/>
        <w:jc w:val="center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Krásnohorské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Podhradie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-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Karsznahorkaváralja</w:t>
      </w:r>
      <w:proofErr w:type="spellEnd"/>
    </w:p>
    <w:p w:rsidR="00D47E42" w:rsidRPr="00D47E42" w:rsidRDefault="00D47E42" w:rsidP="00D47E42">
      <w:pPr>
        <w:spacing w:after="0" w:line="300" w:lineRule="atLeast"/>
        <w:jc w:val="center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</w:p>
    <w:p w:rsidR="00D47E42" w:rsidRPr="00D47E42" w:rsidRDefault="00D47E42" w:rsidP="00D47E42">
      <w:pPr>
        <w:spacing w:after="0" w:line="300" w:lineRule="atLeast"/>
        <w:jc w:val="center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</w:p>
    <w:p w:rsidR="00D47E42" w:rsidRPr="00D47E42" w:rsidRDefault="00D47E42" w:rsidP="00D47E42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VNÚTORNÝ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PREDPIS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pre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vybavovanie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sťažnosti</w:t>
      </w:r>
    </w:p>
    <w:p w:rsidR="00D47E42" w:rsidRPr="00D47E42" w:rsidRDefault="00D47E42" w:rsidP="00D47E42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</w:p>
    <w:p w:rsidR="00D47E42" w:rsidRPr="00D47E42" w:rsidRDefault="002F7BB5" w:rsidP="00D47E42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D47E42">
        <w:rPr>
          <w:rFonts w:eastAsia="Times New Roman" w:cs="Tahoma"/>
          <w:color w:val="000000"/>
          <w:sz w:val="24"/>
          <w:szCs w:val="24"/>
          <w:lang w:eastAsia="sk-SK"/>
        </w:rPr>
        <w:t>Vnútorný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>
        <w:rPr>
          <w:rFonts w:eastAsia="Times New Roman" w:cs="Tahoma"/>
          <w:color w:val="000000"/>
          <w:sz w:val="24"/>
          <w:szCs w:val="24"/>
          <w:lang w:eastAsia="sk-SK"/>
        </w:rPr>
        <w:t>predpis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prešetrovanie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vybavov</w:t>
      </w:r>
      <w:r w:rsidR="00D47E42">
        <w:rPr>
          <w:rFonts w:eastAsia="Times New Roman" w:cs="Tahoma"/>
          <w:color w:val="000000"/>
          <w:sz w:val="24"/>
          <w:szCs w:val="24"/>
          <w:lang w:eastAsia="sk-SK"/>
        </w:rPr>
        <w:t>anie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>
        <w:rPr>
          <w:rFonts w:eastAsia="Times New Roman" w:cs="Tahoma"/>
          <w:color w:val="000000"/>
          <w:sz w:val="24"/>
          <w:szCs w:val="24"/>
          <w:lang w:eastAsia="sk-SK"/>
        </w:rPr>
        <w:t>sťažností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aplikácií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č.9/2009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podmienkach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školy: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jc w:val="center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Základná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škola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materskou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školou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Alapiskola</w:t>
      </w:r>
      <w:proofErr w:type="spellEnd"/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és</w:t>
      </w:r>
      <w:proofErr w:type="spellEnd"/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Óvoda</w:t>
      </w:r>
      <w:proofErr w:type="spellEnd"/>
    </w:p>
    <w:p w:rsidR="00D47E42" w:rsidRPr="00D47E42" w:rsidRDefault="00D47E42" w:rsidP="00D47E42">
      <w:pPr>
        <w:spacing w:after="0" w:line="300" w:lineRule="atLeast"/>
        <w:jc w:val="center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Lipová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115</w:t>
      </w:r>
    </w:p>
    <w:p w:rsidR="00D47E42" w:rsidRPr="00D47E42" w:rsidRDefault="00D47E42" w:rsidP="00D47E42">
      <w:pPr>
        <w:spacing w:after="0" w:line="300" w:lineRule="atLeast"/>
        <w:jc w:val="center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Krásnohorské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Podhradie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-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Karsznahorkaváralja</w:t>
      </w:r>
      <w:proofErr w:type="spellEnd"/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I</w:t>
      </w:r>
    </w:p>
    <w:p w:rsidR="00D47E42" w:rsidRPr="00D47E42" w:rsidRDefault="002F7BB5" w:rsidP="00D47E42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Základné ustanovenia </w:t>
      </w:r>
    </w:p>
    <w:p w:rsidR="00D47E42" w:rsidRPr="00D47E42" w:rsidRDefault="00D47E42" w:rsidP="00D47E42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Tento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vnútorný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predpis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vydaný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zmysle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9/2010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(ďalej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„zákon“)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decembra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2009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11,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upravuje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podávanie,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prijímanie,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evidenciu,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týkajúcich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Základnej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školy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materskou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školou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Krásnohorskom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Podhradí.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Tento vnútorný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predpis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vydaný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účelom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zjednotenia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upravenia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postupu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podávaní,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prijímaní,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evidovaní,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kontrole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fyzických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právnických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osôb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tohto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predpisu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postupujú: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,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riaditeľ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>b, zamestnanci ZŠ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2F7BB5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II</w:t>
      </w:r>
    </w:p>
    <w:p w:rsidR="00D47E42" w:rsidRPr="00D47E42" w:rsidRDefault="00D47E42" w:rsidP="002F7BB5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Právna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úprava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podávania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sťažností</w:t>
      </w:r>
    </w:p>
    <w:p w:rsidR="00D47E42" w:rsidRPr="00D47E42" w:rsidRDefault="00D47E42" w:rsidP="002F7BB5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</w:p>
    <w:p w:rsidR="00D47E42" w:rsidRPr="00D47E42" w:rsidRDefault="00A01E44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Ústava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SR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čl.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27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1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zaručuje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právo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občana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samého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inými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obracať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vo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veciach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verejného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iného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spoločenského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záujmu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štátne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orgány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orgány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územnej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samosprávy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organizácie,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sú</w:t>
      </w:r>
      <w:r w:rsidR="002F7BB5" w:rsidRPr="00A01E44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A01E44">
        <w:rPr>
          <w:rFonts w:eastAsia="Times New Roman" w:cs="Tahoma"/>
          <w:color w:val="000000"/>
          <w:sz w:val="24"/>
          <w:szCs w:val="24"/>
          <w:lang w:eastAsia="sk-SK"/>
        </w:rPr>
        <w:t>zriadené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týmito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inštitúciami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/orgány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správy/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so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žiadosťami,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návrhmi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sťažnosťami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z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2F7BB5">
        <w:rPr>
          <w:rFonts w:eastAsia="Times New Roman" w:cs="Tahoma"/>
          <w:color w:val="000000"/>
          <w:sz w:val="24"/>
          <w:szCs w:val="24"/>
          <w:lang w:eastAsia="sk-SK"/>
        </w:rPr>
        <w:t>čoho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následne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vyplýva,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že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tieto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orgány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ich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organizácie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sú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povinné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prijímať.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Prešetrovanie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upravuje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9/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2010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vzťahuje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všetky: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a/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 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štátne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orgány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nimi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zriadené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organizácie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,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územnej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samosprávy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nimi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zriadené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organizácie,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zveril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rozhodovanie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právach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chránených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záujmov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povinnostiach</w:t>
      </w:r>
      <w:r w:rsidR="004213A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osôb</w:t>
      </w:r>
    </w:p>
    <w:p w:rsidR="00D47E42" w:rsidRPr="00D47E42" w:rsidRDefault="00D47E42" w:rsidP="004213A8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lastRenderedPageBreak/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4213A8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III.</w:t>
      </w:r>
    </w:p>
    <w:p w:rsidR="00D47E42" w:rsidRPr="00D47E42" w:rsidRDefault="00D47E42" w:rsidP="004213A8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Charakteristika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sťažností</w:t>
      </w:r>
    </w:p>
    <w:p w:rsidR="00D47E42" w:rsidRPr="00D47E42" w:rsidRDefault="00D47E42" w:rsidP="004213A8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Sťažnosť</w:t>
      </w:r>
      <w:r w:rsidR="004213A8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fyzickej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právnickej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(ďalej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sťažovateľ),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:</w:t>
      </w:r>
    </w:p>
    <w:p w:rsidR="004213A8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domáha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ochrany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svojich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chránených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záujmov,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domnieva,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že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boli</w:t>
      </w:r>
      <w:r w:rsidR="004213A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porušené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činnosťou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nečinnosťou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/ďalej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činnosťou/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b/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poukazuje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konkrétne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nedostatky,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najmä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porušenie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právnych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predpisov,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ktorých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odstránenie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pôsobnosti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tohto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nepovažuje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podanie,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: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charakter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dopytu,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vyjadrenia,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názoru,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žiadosti,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podnetu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návrhu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ňom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jednoznačne</w:t>
      </w:r>
      <w:r w:rsidR="004213A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vyjadrené,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ochrany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svojho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chráneného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záujmu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domáha,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poukazuje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konkrétne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nedostatky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činnosti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-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odstránenie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4213A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upravené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iným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právnym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predpisom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(napr.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Občiansky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súdny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poriadok,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Trestný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poriadok,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zákonč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162/1995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(katastrálny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zákon),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250/2007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372/1990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.),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osobitného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predpisu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400/2009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511/1992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4213A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73/1998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233/1995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.,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d/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smeruje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proti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rozhodnutiu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vydanému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správnom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konaní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iného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právneho</w:t>
      </w:r>
      <w:r w:rsidR="004213A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predpisu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71/1967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Zb.,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511/1992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Zb.,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278/1993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podanie: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a)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upozorňuje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nedostatky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činnosti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správy,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b)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osoby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poverenej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súdom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výkon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moci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(napr.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233/1995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="004213A8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="004213A8">
        <w:rPr>
          <w:rFonts w:eastAsia="Times New Roman" w:cs="Tahoma"/>
          <w:color w:val="000000"/>
          <w:sz w:val="24"/>
          <w:szCs w:val="24"/>
          <w:lang w:eastAsia="sk-SK"/>
        </w:rPr>
        <w:t xml:space="preserve">.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Občianskeho,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Súdneho</w:t>
      </w:r>
    </w:p>
    <w:p w:rsidR="004213A8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poriadku).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označené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vráti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tomu,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podal,bezodkladne</w:t>
      </w:r>
      <w:proofErr w:type="spellEnd"/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tom,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zistí,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že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písm.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a),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b)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d)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4,</w:t>
      </w:r>
      <w:r w:rsidR="004213A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najneskôr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30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pracovných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doručenia,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uvedením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dôvodu.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ZŠ,takéto</w:t>
      </w:r>
      <w:proofErr w:type="spellEnd"/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nevráti,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právneho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predpisu.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5.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písm.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c)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postúpi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tomu,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osobitného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predpisu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súčasne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oznámi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tomu,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podal.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postúpenie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vzťahuje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lehota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9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6.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písm.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d),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zrejmé,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že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proti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rozhodnutiu,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právoplatné,</w:t>
      </w:r>
      <w:r w:rsidR="004213A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piatich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pracovných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doručenia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postúpi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napadnuté</w:t>
      </w:r>
      <w:r w:rsidR="004213A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rozhodnutie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vydal,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súčasne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oznámi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tomu,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podal.</w:t>
      </w:r>
    </w:p>
    <w:p w:rsidR="00D47E42" w:rsidRDefault="004213A8" w:rsidP="004213A8">
      <w:pPr>
        <w:spacing w:after="0" w:line="300" w:lineRule="atLeast"/>
        <w:jc w:val="both"/>
        <w:rPr>
          <w:rFonts w:eastAsia="Times New Roman" w:cs="Tahoma"/>
          <w:bCs/>
          <w:color w:val="000000"/>
          <w:sz w:val="24"/>
          <w:szCs w:val="24"/>
          <w:lang w:eastAsia="sk-SK"/>
        </w:rPr>
      </w:pPr>
      <w:r w:rsidRPr="004213A8">
        <w:rPr>
          <w:rFonts w:eastAsia="Times New Roman" w:cs="Tahoma"/>
          <w:bCs/>
          <w:color w:val="000000"/>
          <w:sz w:val="24"/>
          <w:szCs w:val="24"/>
          <w:lang w:eastAsia="sk-SK"/>
        </w:rPr>
        <w:t>7</w:t>
      </w: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. </w:t>
      </w:r>
      <w:r w:rsidRPr="004213A8">
        <w:rPr>
          <w:rFonts w:eastAsia="Times New Roman" w:cs="Tahoma"/>
          <w:bCs/>
          <w:color w:val="000000"/>
          <w:sz w:val="24"/>
          <w:szCs w:val="24"/>
          <w:lang w:eastAsia="sk-SK"/>
        </w:rPr>
        <w:t>Na účely</w:t>
      </w:r>
      <w:r>
        <w:rPr>
          <w:rFonts w:eastAsia="Times New Roman" w:cs="Tahoma"/>
          <w:bCs/>
          <w:color w:val="000000"/>
          <w:sz w:val="24"/>
          <w:szCs w:val="24"/>
          <w:lang w:eastAsia="sk-SK"/>
        </w:rPr>
        <w:t xml:space="preserve"> tohto predpisu je </w:t>
      </w:r>
    </w:p>
    <w:p w:rsidR="004213A8" w:rsidRDefault="004213A8" w:rsidP="004213A8">
      <w:pPr>
        <w:spacing w:after="0" w:line="300" w:lineRule="atLeast"/>
        <w:jc w:val="both"/>
        <w:rPr>
          <w:rFonts w:eastAsia="Times New Roman" w:cs="Tahoma"/>
          <w:bCs/>
          <w:color w:val="000000"/>
          <w:sz w:val="24"/>
          <w:szCs w:val="24"/>
          <w:lang w:eastAsia="sk-SK"/>
        </w:rPr>
      </w:pPr>
      <w:r>
        <w:rPr>
          <w:rFonts w:eastAsia="Times New Roman" w:cs="Tahoma"/>
          <w:bCs/>
          <w:color w:val="000000"/>
          <w:sz w:val="24"/>
          <w:szCs w:val="24"/>
          <w:lang w:eastAsia="sk-SK"/>
        </w:rPr>
        <w:t>a) preskúmať sťažnosť – činnosť, spojená s oboznámením sa s obsahom a jeho posúdením, za účelom rozhodnutia, akým spôsobom sa bude sťažnosť vybavovať,</w:t>
      </w:r>
    </w:p>
    <w:p w:rsidR="004213A8" w:rsidRDefault="004213A8" w:rsidP="004213A8">
      <w:pPr>
        <w:spacing w:after="0" w:line="300" w:lineRule="atLeast"/>
        <w:jc w:val="both"/>
        <w:rPr>
          <w:rFonts w:eastAsia="Times New Roman" w:cs="Tahoma"/>
          <w:bCs/>
          <w:color w:val="000000"/>
          <w:sz w:val="24"/>
          <w:szCs w:val="24"/>
          <w:lang w:eastAsia="sk-SK"/>
        </w:rPr>
      </w:pPr>
      <w:r>
        <w:rPr>
          <w:rFonts w:eastAsia="Times New Roman" w:cs="Tahoma"/>
          <w:bCs/>
          <w:color w:val="000000"/>
          <w:sz w:val="24"/>
          <w:szCs w:val="24"/>
          <w:lang w:eastAsia="sk-SK"/>
        </w:rPr>
        <w:lastRenderedPageBreak/>
        <w:t>b)</w:t>
      </w:r>
      <w:r w:rsidR="0004224E">
        <w:rPr>
          <w:rFonts w:eastAsia="Times New Roman" w:cs="Tahoma"/>
          <w:bCs/>
          <w:color w:val="000000"/>
          <w:sz w:val="24"/>
          <w:szCs w:val="24"/>
          <w:lang w:eastAsia="sk-SK"/>
        </w:rPr>
        <w:t xml:space="preserve"> prešetrenie s</w:t>
      </w:r>
      <w:r>
        <w:rPr>
          <w:rFonts w:eastAsia="Times New Roman" w:cs="Tahoma"/>
          <w:bCs/>
          <w:color w:val="000000"/>
          <w:sz w:val="24"/>
          <w:szCs w:val="24"/>
          <w:lang w:eastAsia="sk-SK"/>
        </w:rPr>
        <w:t>ťažnosti – činnosť, pri ktorej sa skúma, aký stav požadujú všeobecné záväzné právne predpis</w:t>
      </w:r>
      <w:r w:rsidR="0004224E">
        <w:rPr>
          <w:rFonts w:eastAsia="Times New Roman" w:cs="Tahoma"/>
          <w:bCs/>
          <w:color w:val="000000"/>
          <w:sz w:val="24"/>
          <w:szCs w:val="24"/>
          <w:lang w:eastAsia="sk-SK"/>
        </w:rPr>
        <w:t>y, analyzujú sa odchýlky skutočnosti od toho požadovaného stavu, ich rozsah, závažnosť, množstvo a skúmajú sa princípy nežiaduceho stavu a následky,</w:t>
      </w:r>
    </w:p>
    <w:p w:rsidR="0004224E" w:rsidRPr="004213A8" w:rsidRDefault="0004224E" w:rsidP="004213A8">
      <w:pPr>
        <w:spacing w:after="0" w:line="300" w:lineRule="atLeast"/>
        <w:jc w:val="both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Cs/>
          <w:color w:val="000000"/>
          <w:sz w:val="24"/>
          <w:szCs w:val="24"/>
          <w:lang w:eastAsia="sk-SK"/>
        </w:rPr>
        <w:t xml:space="preserve">c) vybavenie sťažnosti – preskúmanie, prešetrenie, prijatie opatrení na nápravu, ako aj kontrolu ich plnenia , teda všetky úkony od prijatia sťažnosti až do oznámenia výsledku( odoslanie písomného oznámenia výsledku jej prešetrenia sťažovateľovi s uvedením, či je sťažnosť opodstatnená alebo neopodstatnená) a zabezpečenie nápravy. </w:t>
      </w:r>
    </w:p>
    <w:p w:rsidR="004213A8" w:rsidRPr="0004224E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4213A8">
        <w:rPr>
          <w:rFonts w:eastAsia="Times New Roman" w:cs="Tahoma"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4213A8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4213A8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IV.</w:t>
      </w:r>
    </w:p>
    <w:p w:rsidR="00D47E42" w:rsidRPr="00D47E42" w:rsidRDefault="00D47E42" w:rsidP="004213A8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Podávanie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sťažností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Miesto,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čas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spôsob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možno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podať: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a)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miesto: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04224E">
        <w:rPr>
          <w:rFonts w:eastAsia="Times New Roman" w:cs="Tahoma"/>
          <w:color w:val="000000"/>
          <w:sz w:val="24"/>
          <w:szCs w:val="24"/>
          <w:lang w:eastAsia="sk-SK"/>
        </w:rPr>
        <w:t>s MŠ, Lipová 115 , Krásnohorské Podhradie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b)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čas: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úradných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hodinách,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c)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spôsob: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podáva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ústne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záznamu,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faxom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elektronickou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poštou.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musí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obsahovať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meno,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priezvisko,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adresu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trvalého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pobytu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prechodného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pobytu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sťažovateľa.</w:t>
      </w:r>
      <w:r w:rsidR="0004224E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podáva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právnická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musí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obsahovať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názov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sídlo,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meno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priezvisko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oprávnenej</w:t>
      </w:r>
      <w:r w:rsidR="0004224E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ňu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považuje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   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musí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byť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čitateľná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zrozumiteľná.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Musí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byť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jednoznačné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proti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smeruje,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aké</w:t>
      </w:r>
      <w:r w:rsidR="0004224E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nedostatky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poukazuje,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čoho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domáha/ďalej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predmet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musí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byť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sťažovateľom</w:t>
      </w:r>
      <w:r w:rsidR="0004224E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podpísaná.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vyhotoví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ústnej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nemožno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ihneď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podaní,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písomný</w:t>
      </w:r>
      <w:r w:rsidR="0004224E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záznam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ústnej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/ďalej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záznam/.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Okrem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náležitostí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5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záznam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obsahuje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deň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hodinu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vyhotovenia,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názov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adresu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mená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priezviská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zamestnancov,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záznam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vyhotovili,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zamestnancov,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boli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prítomní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5.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nemá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požadované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náležitosti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tejto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smernice,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zrozumiteľná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náležité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potrebné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údaje,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neuvádzajú,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potrebné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zabezpečiť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ich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doplnenie.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6.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záznam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vyhotoviť,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ústnom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podávaní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nespolupracuje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domáha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činností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rozpore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právnymi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predpismi.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7.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odmietne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vyhotovenie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záznamu,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takúto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neprijme.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odmietne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záznam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podpísať,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záznam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odloží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poznámkou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> 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odmietnutí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podpísania.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8.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telefaxom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elektronickou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poštou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považuje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písomnú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iba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vtedy,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piatich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pracovných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potvrdí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podpisom,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inak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odloží.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Lehota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začína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plynúť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prvým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pracovným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dňom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nasledujúcim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dni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doručenia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potvrdenia.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potvrdenie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obsahuje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údaje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telefaxom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elektronickou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poštou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faxom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elektronickou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poštou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odloží.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elektronickou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poštou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zaručeným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elektronickým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podpisom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215/2002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elektronickom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podpise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zmene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doplnení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niektorých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považuje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lastRenderedPageBreak/>
        <w:t>9.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adresovaná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zamestnancovi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vedúcemu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podanou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10.Podmienky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postupu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odložení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zakotvené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6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11.Podanie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nesmie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stať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podnetom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ani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dôvodom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vyvodzovanie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dôsledkov,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sťažovateľovi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spôsobili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akúkoľvek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ujmu.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12.Písomnosti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súvisiace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podalo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viac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spoločne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určené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majú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doručovať,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zašle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sťažovateľovi,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uvedený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prvý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uvádza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údaje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tejto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smernice.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13.Ak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zvolil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zástupcu,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mene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podáva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súčasťou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musí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byť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úradne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osvedčené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splnomocnenie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zastupovať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podávaní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úkonoch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súvisiacich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8C4668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8C4668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V.</w:t>
      </w:r>
    </w:p>
    <w:p w:rsidR="00D47E42" w:rsidRPr="00D47E42" w:rsidRDefault="00D47E42" w:rsidP="008C4668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Utajenie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totožnosti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sťažovateľa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Totožnosť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utajiť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požiada.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môže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utajiť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totožnosť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záujme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prešetrovaní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takejto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používa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odpis,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možné,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kópia,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bez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uvedenia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údajov,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by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identifikovali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sťažovateľa.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Každý,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totožnosť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sťažovateľova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známa,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zachovať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mlčanlivosť.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požiadal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utajenie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svojej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totožnosti,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predmet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neumožňuje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bez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uvedenia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niektorého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údajov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bezodkladne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upovedomí.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Súčasne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poučí,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že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bude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pokračovať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vtedy,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určenej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lehote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udelí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súhlas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uvedením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potrebného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údaja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svojej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osobe.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požiadal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utajenie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svojej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totožnosti,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príslušný,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najneskôr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10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pracovných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doručenia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vráti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sťažovateľovi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> 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uvedením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dôvodu.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</w:p>
    <w:p w:rsidR="00D47E42" w:rsidRPr="00D47E42" w:rsidRDefault="00D47E42" w:rsidP="008C4668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8C4668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VI.</w:t>
      </w:r>
    </w:p>
    <w:p w:rsidR="00D47E42" w:rsidRPr="00D47E42" w:rsidRDefault="00D47E42" w:rsidP="008C4668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Prijímanie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sťažností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prijať.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Prijatú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vecne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príslušný,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postúpi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najneskôr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10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pracovných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doručenia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príslušnému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zároveň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upovedomí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sťažovateľa.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neodstúpi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8C4668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8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Miesto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prijímanie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určuje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tejto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smernice.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úrovni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prijíma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poverený</w:t>
      </w:r>
      <w:r w:rsidR="002F7BB5">
        <w:rPr>
          <w:rFonts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zamestnanec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dotknutá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ostatných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vedúcich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zamestnancov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prijímať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Povereným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zamestnancom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riaditeľka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8C4668" w:rsidRDefault="008C4668" w:rsidP="00D47E42">
      <w:pPr>
        <w:spacing w:after="0" w:line="300" w:lineRule="atLeast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</w:p>
    <w:p w:rsidR="008C4668" w:rsidRDefault="008C4668" w:rsidP="00D47E42">
      <w:pPr>
        <w:spacing w:after="0" w:line="300" w:lineRule="atLeast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</w:p>
    <w:p w:rsidR="008C4668" w:rsidRDefault="008C4668" w:rsidP="00D47E42">
      <w:pPr>
        <w:spacing w:after="0" w:line="300" w:lineRule="atLeast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8C4668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lastRenderedPageBreak/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8C4668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VII.</w:t>
      </w:r>
    </w:p>
    <w:p w:rsidR="00D47E42" w:rsidRPr="00D47E42" w:rsidRDefault="00D47E42" w:rsidP="008C4668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Evidencia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sťažností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viesť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centrálnu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evidenciu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/ďalej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len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evidencia/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oddelene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evidencie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ostatných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písomností.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Evidencia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musí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obsahovať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najmä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tieto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údaje: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dátum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doručenia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dátum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zapísania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opakovanej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ďalšej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opakovanej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meno,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priezvisko,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adresu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trvalého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bydliska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právnickej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názov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sídlo,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meno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priezvisko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oprávnenej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ňu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konať,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predmet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dátum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pridelenia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bola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pridelená,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výsledok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f/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prijaté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opatrenia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termíny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plnenia,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g/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dátum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opakovanej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odloženia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ďalšej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opakovanej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h/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výsledok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prekontrolovania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predchádzajúcej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opakovanej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dátum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postúpenia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príslušnému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dôvody,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odložil,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k/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poznámku.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Opakovaná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ďalšia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opakovaná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eviduje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roku,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bola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doručená.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poznámke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uvedie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číslo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súvisí.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požiadanie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ústredného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štátnej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kontrolu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575/2001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organizácii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činnosti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vlády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organizácii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ústrednej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štátnej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predkladať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ročnú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stanovenom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termíne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štruktúre.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    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Všetky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prijaté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evidujú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riaditeľa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centrálnej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evidencii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potrebné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viesť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evidenciu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kompletnej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spisovej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dokumentácie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poveriť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zamestnanca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zodpovedného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úplnosť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dokumentácie,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aby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bolo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možné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kedykoľvek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vykonať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kontrolu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stavu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úrovne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práce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sťažnosťami.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5.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Poverený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zamestnanec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prijímať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viesť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centrálnu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evidenciu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viesť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kompletnú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spisovú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dokumentáciu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FD3AB9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FD3AB9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VII.</w:t>
      </w:r>
    </w:p>
    <w:p w:rsidR="00D47E42" w:rsidRPr="00D47E42" w:rsidRDefault="00D47E42" w:rsidP="00FD3AB9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Príslušnosť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sťažností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vedúci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t.j.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riaditeľ,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pôsobnosti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patrí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činnosť,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domnieva,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že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ňou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boli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porušené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chránené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záujmy.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Delegovanie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právomoci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ďalšiemu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zamestnancovi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prípustné.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nesmie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byť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pridelená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prešetrovanie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tomu,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proti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smeruje,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ani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zamestnancovi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riadiacej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pôsobnosti.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prešetrovania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vylúčený: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lastRenderedPageBreak/>
        <w:t>a)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zamestnanec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zúčastnil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činnosti,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predmetom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b)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zamestnanec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zúčastnila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činnosti,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predmetom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c)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ten,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predpojatosti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možno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pochybnosti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vzhľadom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vzťah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sťažovateľovi,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jeho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zástupcovi,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zamestnancovi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-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proti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smeruje,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> 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predmetu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bude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povereného</w:t>
      </w:r>
      <w:r w:rsidR="002F7BB5">
        <w:rPr>
          <w:rFonts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zamestnanca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takéto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kompetentný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prešetriť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vedúci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-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splnomocnený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zástupca.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 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5.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proti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vedúcemu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-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riaditeľovi,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najbližší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nadriadený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Obec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>Krásnohorské Podhradie.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6.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zamestnancov,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občanov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zástupcov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detí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žiakov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7.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vznikne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spor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tom,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> 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ktorom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spor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vznikol,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najneskôr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10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pracovných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dňa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vzniku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sporu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postúpi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príslušnému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rozhodnutie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sporu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zároveň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upovedomí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sťažovateľa.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určí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spoločný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nadriadený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Obec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>Krásnohorské Podhradie.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FD3AB9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FD3AB9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IX.</w:t>
      </w:r>
    </w:p>
    <w:p w:rsidR="00D47E42" w:rsidRPr="00D47E42" w:rsidRDefault="00D47E42" w:rsidP="00FD3AB9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Lehoty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sťažností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60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pracovných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dní.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náročná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prešetrenie,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môže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vedúci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splnomocnený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zástupca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predĺžiť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lehotu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13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predĺžiť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uplynutím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30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pracovných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dní.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Lehotu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nemôže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predĺžiť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splnomocnený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zástupca,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prešetruje.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oznámi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predĺženie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lehoty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sťažovateľovi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bezodkladne,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uvedením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dôvodu.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Lehota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začína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plynúť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prvým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pracovným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dňom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nasledujúcim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dni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doručenia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príslušnému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prípade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sporu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príslušnosť,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lehota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začína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plynúť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prvým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pracovným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dňom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nasledujúcim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doručení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doručenia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rozhodnutia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FD3AB9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FD3AB9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X.</w:t>
      </w:r>
    </w:p>
    <w:p w:rsidR="00D47E42" w:rsidRPr="00D47E42" w:rsidRDefault="00D47E42" w:rsidP="00FD3AB9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Oboznamovanie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obsahom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sťažností</w:t>
      </w:r>
    </w:p>
    <w:p w:rsidR="00D47E42" w:rsidRPr="00D47E42" w:rsidRDefault="00D47E42" w:rsidP="00FD3AB9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bezodkladne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oboznámiť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toho,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proti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obsahom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takom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rozsahu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čase,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aby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prešetrovanie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nemohlo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zmariť.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Zároveň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umožní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vyjadriť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predkladať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doklady,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informácie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údaje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potrebné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FD3AB9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FD3AB9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FD3AB9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XI.</w:t>
      </w:r>
    </w:p>
    <w:p w:rsidR="00D47E42" w:rsidRPr="00D47E42" w:rsidRDefault="00D47E42" w:rsidP="00FD3AB9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Spolupráca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sťažovateľa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súčinnosť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orgánov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správy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Spolupráca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zakotvená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16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lastRenderedPageBreak/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Súčinnosť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zakotvená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17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AE325F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XII.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Prešetrovanie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sťažností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Prešetrovanie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zakotvené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18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Náležitosti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zápisnica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zakotvené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19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AE325F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XIII.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Oznámenie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vybavení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sťažnosti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odoslaním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oznámenia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výsledku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sťažovateľovi.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> 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oznámení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uvedie,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opodstatnená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neopodstatnená.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Oznámenie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musí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obsahovať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odôvodnenie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výsledku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vychádza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zápisnice.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opodstatnená,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oznámení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uvedie,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že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-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prešetrovala,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boli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uložené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19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písm.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i)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viacero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častí,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musí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oznámenie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obsahovať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výsledok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každej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nich.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iba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časti,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výsledok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oznamuje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iba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> 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tejto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časti.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AE325F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oprávnený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kontrolovať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návrhy,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oznámenia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odoslaním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sťažovateľovi,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požiadanie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predkladá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poverený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zamestnanec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zodpovedný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spolu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zápisnicou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prešetrenia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oznámenie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obsahuje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všetky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zákonné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náležitosti,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svojim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podpisom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potvrdí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správnosť,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opačnom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prípade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povinnosťou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povereného</w:t>
      </w:r>
      <w:r w:rsidR="002F7BB5">
        <w:rPr>
          <w:rFonts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zamestnanca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vyžiadať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doplnenie,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resp.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prepracovanie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uvedeného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oznámenia,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vrátane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opatrení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prijatých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nápravu.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 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AE325F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XIV.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Opakovaná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ďalšia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opakovaná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sťažnosť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Opakovaná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ďalšia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opakovaná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zakotvená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AE325F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XV.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proti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vybavovaniu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proti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odloženiu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sťažnosti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vyjadruje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nesúhlas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odložením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svojej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predchádzajúcej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novou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proti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postupu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odložení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proti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postupu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opakovanou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sťažnosťou,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ani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vtedy,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opakuje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skutočnosti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predchádzajúcej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AE325F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15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tejto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smernice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vedúci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ním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splnomocnený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zástupca,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rozpore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12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lastRenderedPageBreak/>
        <w:t>sťažnostiach.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vybavil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vedúci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riaditeľ,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15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tejto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smernice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príslušný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najbližší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nadriadený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Obec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>Krásnohorské Podhradie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proti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vybavovaniu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proti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odloženiu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lehote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čl.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9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tejto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smernice.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AE325F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XVI.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Kontrola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vybavovania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sťažností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Nadriadené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vykonávajú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kontrolu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podľa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osobitného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predpisu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-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7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="005055F7">
        <w:rPr>
          <w:rFonts w:eastAsia="Times New Roman" w:cs="Tahoma"/>
          <w:color w:val="000000"/>
          <w:sz w:val="24"/>
          <w:szCs w:val="24"/>
          <w:lang w:eastAsia="sk-SK"/>
        </w:rPr>
        <w:t>09/2010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kontrole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štátnej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znení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nesk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predpisov.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vybavil,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oprávnený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kontrolovať,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opatrenia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prijaté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odstránenie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nedostatkov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príčin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vzniku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plnia.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AE325F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VII.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Poriadková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pokuta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Poriadková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pokuta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zakotvená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§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24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AE325F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XIII.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Spoločné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ustanovenia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Vedúci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riaditeľ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alebo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ním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splnomocnený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zástupca,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prešetruje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sťažnosť,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vytvárať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vhodné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materiálne,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technické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personálne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podmienky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> 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včasné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prešetrenie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vybavenie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Trovy,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vznikli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sťažovateľovi,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znáša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sťažovateľ.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Trovy,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vznikli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–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ZŠ,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znáša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tento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3.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Každý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skutočnostiach,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ktoré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dozvedeli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sťažností,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 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zachovávať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mlčanlivosť.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Od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tejto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môže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písomne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oslobodiť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ten,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koho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záujme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má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túto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povinnosť.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4.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Ak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ustanovené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inak,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postup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orgánu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verejnej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vybavovaní</w:t>
      </w:r>
      <w:r w:rsidR="00AE325F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nevzťahuje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všeobecný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predpis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správnom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konaní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-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71/1967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Zb.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správnom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konaní.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5.</w:t>
      </w:r>
      <w:r w:rsidR="002F7BB5">
        <w:rPr>
          <w:rFonts w:eastAsia="Times New Roman" w:cs="Arial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Ustanovenia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zákona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SR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č.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9/2009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Z.z</w:t>
      </w:r>
      <w:proofErr w:type="spellEnd"/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sťažnostiach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nie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sú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touto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smernicou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dotknuté.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Čl.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AE325F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XIX.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Účinnosť</w:t>
      </w:r>
    </w:p>
    <w:p w:rsidR="00D47E42" w:rsidRPr="00D47E42" w:rsidRDefault="00D47E42" w:rsidP="00AE325F">
      <w:pPr>
        <w:spacing w:after="0" w:line="300" w:lineRule="atLeast"/>
        <w:jc w:val="center"/>
        <w:rPr>
          <w:rFonts w:eastAsia="Times New Roman" w:cs="Tahoma"/>
          <w:color w:val="000000"/>
          <w:sz w:val="24"/>
          <w:szCs w:val="24"/>
          <w:lang w:eastAsia="sk-SK"/>
        </w:rPr>
      </w:pPr>
    </w:p>
    <w:p w:rsidR="00D47E42" w:rsidRPr="00D47E42" w:rsidRDefault="00D47E42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Táto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smernica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nadobúda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účinnosť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dňom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1.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mája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D47E42">
        <w:rPr>
          <w:rFonts w:eastAsia="Times New Roman" w:cs="Tahoma"/>
          <w:color w:val="000000"/>
          <w:sz w:val="24"/>
          <w:szCs w:val="24"/>
          <w:lang w:eastAsia="sk-SK"/>
        </w:rPr>
        <w:t>2010.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D47E42" w:rsidRPr="00D47E42" w:rsidRDefault="002F7BB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</w:p>
    <w:p w:rsidR="000406D5" w:rsidRDefault="000406D5" w:rsidP="00D47E42">
      <w:pPr>
        <w:spacing w:after="0" w:line="300" w:lineRule="atLeast"/>
        <w:rPr>
          <w:rFonts w:eastAsia="Times New Roman" w:cs="Tahoma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 w:cs="Tahoma"/>
          <w:color w:val="000000"/>
          <w:sz w:val="24"/>
          <w:szCs w:val="24"/>
          <w:lang w:eastAsia="sk-SK"/>
        </w:rPr>
        <w:t>V Krásnohorskom Podhradí, dňa: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</w:t>
      </w:r>
      <w:r w:rsidR="00D47E42" w:rsidRPr="00D47E42">
        <w:rPr>
          <w:rFonts w:eastAsia="Times New Roman" w:cs="Tahoma"/>
          <w:color w:val="000000"/>
          <w:sz w:val="24"/>
          <w:szCs w:val="24"/>
          <w:lang w:eastAsia="sk-SK"/>
        </w:rPr>
        <w:t>30.04.2010</w:t>
      </w:r>
      <w:r>
        <w:rPr>
          <w:rFonts w:eastAsia="Times New Roman" w:cs="Tahoma"/>
          <w:color w:val="000000"/>
          <w:sz w:val="24"/>
          <w:szCs w:val="24"/>
          <w:lang w:eastAsia="sk-SK"/>
        </w:rPr>
        <w:t xml:space="preserve">                              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Mgr.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Agnesa </w:t>
      </w:r>
      <w:proofErr w:type="spellStart"/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Stupáková</w:t>
      </w:r>
      <w:proofErr w:type="spellEnd"/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 </w:t>
      </w:r>
    </w:p>
    <w:p w:rsidR="00D47E42" w:rsidRPr="00D47E42" w:rsidRDefault="000406D5" w:rsidP="00D47E42">
      <w:pPr>
        <w:spacing w:after="0" w:line="300" w:lineRule="atLeast"/>
        <w:rPr>
          <w:rFonts w:eastAsia="Times New Roman" w:cs="Tahoma"/>
          <w:color w:val="000000"/>
          <w:sz w:val="24"/>
          <w:szCs w:val="24"/>
          <w:lang w:eastAsia="sk-SK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    </w:t>
      </w:r>
      <w:r w:rsidR="00D47E42"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riad.</w:t>
      </w:r>
      <w:r w:rsidR="002F7BB5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 xml:space="preserve"> </w:t>
      </w:r>
      <w:r w:rsidR="00D47E42" w:rsidRPr="00D47E42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školy</w:t>
      </w:r>
      <w:r w:rsidR="002F7BB5">
        <w:rPr>
          <w:rFonts w:eastAsia="Times New Roman" w:cs="Tahoma"/>
          <w:color w:val="000000"/>
          <w:sz w:val="24"/>
          <w:szCs w:val="24"/>
          <w:lang w:eastAsia="sk-SK"/>
        </w:rPr>
        <w:t xml:space="preserve">                                 </w:t>
      </w:r>
    </w:p>
    <w:p w:rsidR="006363E1" w:rsidRPr="00D47E42" w:rsidRDefault="006363E1">
      <w:pPr>
        <w:rPr>
          <w:sz w:val="24"/>
          <w:szCs w:val="24"/>
        </w:rPr>
      </w:pPr>
    </w:p>
    <w:sectPr w:rsidR="006363E1" w:rsidRPr="00D47E42" w:rsidSect="0063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B58"/>
    <w:multiLevelType w:val="hybridMultilevel"/>
    <w:tmpl w:val="142894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722"/>
    <w:multiLevelType w:val="hybridMultilevel"/>
    <w:tmpl w:val="D49CD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7E42"/>
    <w:rsid w:val="000406D5"/>
    <w:rsid w:val="0004224E"/>
    <w:rsid w:val="00240DCD"/>
    <w:rsid w:val="002F7BB5"/>
    <w:rsid w:val="00374F84"/>
    <w:rsid w:val="004213A8"/>
    <w:rsid w:val="005055F7"/>
    <w:rsid w:val="006363E1"/>
    <w:rsid w:val="008C4668"/>
    <w:rsid w:val="00A01E44"/>
    <w:rsid w:val="00AE325F"/>
    <w:rsid w:val="00D47E42"/>
    <w:rsid w:val="00FD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3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7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3</cp:revision>
  <cp:lastPrinted>2013-10-16T09:37:00Z</cp:lastPrinted>
  <dcterms:created xsi:type="dcterms:W3CDTF">2013-04-16T13:24:00Z</dcterms:created>
  <dcterms:modified xsi:type="dcterms:W3CDTF">2013-10-16T10:27:00Z</dcterms:modified>
</cp:coreProperties>
</file>